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1C462F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1C462F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CUENTA 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 xml:space="preserve">4112-000-000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IMPUESTOS SOBRE EL PATRIMONIO.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el mes de Diciembre 2020 la recaudación en materia de impuesto predial es menor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que en Enero y Febrero.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Ya que la tendencia marca que en los dos primeros meses del año es cuando se 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percibe la mayor recaudación de Impuestos sobre el Patrimonio.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CUENTA 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 xml:space="preserve">4143-400-000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DERECHOS POR PRESTACIÓN DE SERVICIOS DE AGUA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Y ALCANTARILLADO.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En el mes de Diciembre 2020 la recaudacion en materia de Derechos por la 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Prestación de servicios de Agua y Alcantarillado es mucho menor que en Enero 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y Febrero.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Ya que la tendecia marca que en los dos primeros meses del año es cuando se 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percibe la mayor recaudacion de Derechos por la Prestación de Servicios de 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Agua y Alcantarillado.</w:t>
            </w:r>
          </w:p>
          <w:p w:rsidR="001C462F" w:rsidRDefault="001C462F" w:rsidP="001C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1C462F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PEDRO RAMIREZ MARTINEZ</w:t>
            </w:r>
          </w:p>
          <w:p w:rsidR="00425DF0" w:rsidRPr="00EB7BF7" w:rsidRDefault="001C462F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 INTERINO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1C462F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ROMÁN ROMO ROMO</w:t>
            </w:r>
          </w:p>
          <w:p w:rsidR="001F0913" w:rsidRPr="00EB7BF7" w:rsidRDefault="001C462F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1C462F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ASEJ2020-13-13-04-2021-1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54D51"/>
    <w:rsid w:val="001213FD"/>
    <w:rsid w:val="00150A8F"/>
    <w:rsid w:val="001C462F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45E83"/>
    <w:rsid w:val="00B157EC"/>
    <w:rsid w:val="00B35761"/>
    <w:rsid w:val="00BA7910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Leticia Ramírez Hernández</cp:lastModifiedBy>
  <cp:revision>6</cp:revision>
  <dcterms:created xsi:type="dcterms:W3CDTF">2020-05-27T16:02:00Z</dcterms:created>
  <dcterms:modified xsi:type="dcterms:W3CDTF">2021-04-13T18:32:00Z</dcterms:modified>
</cp:coreProperties>
</file>